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00" w:type="dxa"/>
        <w:tblCellSpacing w:w="60" w:type="dxa"/>
        <w:tblInd w:w="130" w:type="dxa"/>
        <w:tblBorders>
          <w:top w:val="nil"/>
          <w:left w:val="nil"/>
          <w:bottom w:val="nil"/>
          <w:right w:val="nil"/>
          <w:insideH w:val="nil"/>
          <w:insideV w:val="nil"/>
        </w:tblBorders>
        <w:shd w:val="clear" w:color="auto" w:fill="E7F0F9"/>
        <w:tblCellMar>
          <w:left w:w="10" w:type="dxa"/>
          <w:right w:w="10" w:type="dxa"/>
        </w:tblCellMar>
        <w:tblLook w:val="0000" w:firstRow="0" w:lastRow="0" w:firstColumn="0" w:lastColumn="0" w:noHBand="0" w:noVBand="0"/>
      </w:tblPr>
      <w:tblGrid>
        <w:gridCol w:w="2254"/>
        <w:gridCol w:w="6746"/>
      </w:tblGrid>
      <w:tr w:rsidR="005B1CAA" w14:paraId="68CAB7E1" w14:textId="77777777">
        <w:tblPrEx>
          <w:tblCellMar>
            <w:top w:w="0" w:type="dxa"/>
            <w:bottom w:w="0" w:type="dxa"/>
          </w:tblCellMar>
        </w:tblPrEx>
        <w:trPr>
          <w:tblCellSpacing w:w="60" w:type="dxa"/>
        </w:trPr>
        <w:tc>
          <w:tcPr>
            <w:tcW w:w="1200" w:type="pct"/>
            <w:shd w:val="clear" w:color="auto" w:fill="E7F0F9"/>
          </w:tcPr>
          <w:p w14:paraId="190A5E8C" w14:textId="77777777" w:rsidR="005B1CAA" w:rsidRDefault="00000000">
            <w:pPr>
              <w:spacing w:after="0" w:line="240" w:lineRule="auto"/>
            </w:pPr>
            <w:r>
              <w:rPr>
                <w:b/>
              </w:rPr>
              <w:t>RKP broj</w:t>
            </w:r>
          </w:p>
        </w:tc>
        <w:tc>
          <w:tcPr>
            <w:tcW w:w="0" w:type="auto"/>
            <w:shd w:val="clear" w:color="auto" w:fill="E7F0F9"/>
          </w:tcPr>
          <w:p w14:paraId="3DD9D4EF" w14:textId="77777777" w:rsidR="005B1CAA" w:rsidRDefault="00000000">
            <w:pPr>
              <w:spacing w:after="0" w:line="240" w:lineRule="auto"/>
            </w:pPr>
            <w:r>
              <w:t>27492</w:t>
            </w:r>
          </w:p>
        </w:tc>
      </w:tr>
      <w:tr w:rsidR="005B1CAA" w14:paraId="3E5FFDDC" w14:textId="77777777">
        <w:tblPrEx>
          <w:tblCellMar>
            <w:top w:w="0" w:type="dxa"/>
            <w:bottom w:w="0" w:type="dxa"/>
          </w:tblCellMar>
        </w:tblPrEx>
        <w:trPr>
          <w:tblCellSpacing w:w="60" w:type="dxa"/>
        </w:trPr>
        <w:tc>
          <w:tcPr>
            <w:tcW w:w="1200" w:type="pct"/>
            <w:shd w:val="clear" w:color="auto" w:fill="E7F0F9"/>
          </w:tcPr>
          <w:p w14:paraId="43FD1186" w14:textId="77777777" w:rsidR="005B1CAA" w:rsidRDefault="00000000">
            <w:pPr>
              <w:spacing w:after="0" w:line="240" w:lineRule="auto"/>
            </w:pPr>
            <w:r>
              <w:rPr>
                <w:b/>
              </w:rPr>
              <w:t>Naziv obveznika</w:t>
            </w:r>
          </w:p>
        </w:tc>
        <w:tc>
          <w:tcPr>
            <w:tcW w:w="0" w:type="auto"/>
            <w:shd w:val="clear" w:color="auto" w:fill="E7F0F9"/>
          </w:tcPr>
          <w:p w14:paraId="5E9612E7" w14:textId="77777777" w:rsidR="005B1CAA" w:rsidRDefault="00000000">
            <w:pPr>
              <w:spacing w:after="0" w:line="240" w:lineRule="auto"/>
            </w:pPr>
            <w:r>
              <w:t>OPĆINA PLAŠKI</w:t>
            </w:r>
          </w:p>
        </w:tc>
      </w:tr>
      <w:tr w:rsidR="005B1CAA" w14:paraId="6ED289D8" w14:textId="77777777">
        <w:tblPrEx>
          <w:tblCellMar>
            <w:top w:w="0" w:type="dxa"/>
            <w:bottom w:w="0" w:type="dxa"/>
          </w:tblCellMar>
        </w:tblPrEx>
        <w:trPr>
          <w:tblCellSpacing w:w="60" w:type="dxa"/>
        </w:trPr>
        <w:tc>
          <w:tcPr>
            <w:tcW w:w="1200" w:type="pct"/>
            <w:shd w:val="clear" w:color="auto" w:fill="E7F0F9"/>
          </w:tcPr>
          <w:p w14:paraId="039AC7E1" w14:textId="77777777" w:rsidR="005B1CAA" w:rsidRDefault="00000000">
            <w:pPr>
              <w:spacing w:after="0" w:line="240" w:lineRule="auto"/>
            </w:pPr>
            <w:r>
              <w:rPr>
                <w:b/>
              </w:rPr>
              <w:t>Razina</w:t>
            </w:r>
          </w:p>
        </w:tc>
        <w:tc>
          <w:tcPr>
            <w:tcW w:w="0" w:type="auto"/>
            <w:shd w:val="clear" w:color="auto" w:fill="E7F0F9"/>
          </w:tcPr>
          <w:p w14:paraId="63F2A5E1" w14:textId="77777777" w:rsidR="005B1CAA" w:rsidRDefault="00000000">
            <w:pPr>
              <w:spacing w:after="0" w:line="240" w:lineRule="auto"/>
            </w:pPr>
            <w:r>
              <w:t>22</w:t>
            </w:r>
          </w:p>
        </w:tc>
      </w:tr>
    </w:tbl>
    <w:p w14:paraId="1DFF0CE5" w14:textId="77777777" w:rsidR="005B1CAA" w:rsidRDefault="00000000">
      <w:r>
        <w:br/>
      </w:r>
    </w:p>
    <w:p w14:paraId="5C9E768B" w14:textId="77777777" w:rsidR="005B1CAA" w:rsidRDefault="00000000">
      <w:pPr>
        <w:spacing w:line="240" w:lineRule="auto"/>
        <w:jc w:val="center"/>
      </w:pPr>
      <w:r>
        <w:rPr>
          <w:b/>
          <w:sz w:val="28"/>
        </w:rPr>
        <w:t>BILJEŠKE UZ FINANCIJSKE IZVJEŠTAJE</w:t>
      </w:r>
    </w:p>
    <w:p w14:paraId="4636AC08" w14:textId="77777777" w:rsidR="005B1CAA" w:rsidRDefault="00000000">
      <w:pPr>
        <w:spacing w:line="240" w:lineRule="auto"/>
        <w:jc w:val="center"/>
      </w:pPr>
      <w:r>
        <w:rPr>
          <w:b/>
          <w:sz w:val="28"/>
        </w:rPr>
        <w:t>ZA RAZDOBLJE</w:t>
      </w:r>
    </w:p>
    <w:p w14:paraId="3A727A36" w14:textId="77777777" w:rsidR="005B1CAA" w:rsidRDefault="00000000">
      <w:pPr>
        <w:spacing w:line="240" w:lineRule="auto"/>
        <w:jc w:val="center"/>
      </w:pPr>
      <w:r>
        <w:rPr>
          <w:b/>
          <w:sz w:val="28"/>
        </w:rPr>
        <w:t>I - VI 2025.</w:t>
      </w:r>
    </w:p>
    <w:p w14:paraId="54C73226" w14:textId="77777777" w:rsidR="005B1CAA" w:rsidRDefault="005B1CAA"/>
    <w:p w14:paraId="78DBAF0C" w14:textId="77777777" w:rsidR="005B1CAA" w:rsidRDefault="00000000">
      <w:pPr>
        <w:keepNext/>
        <w:spacing w:line="240" w:lineRule="auto"/>
        <w:jc w:val="center"/>
      </w:pPr>
      <w:r>
        <w:rPr>
          <w:b/>
          <w:sz w:val="28"/>
        </w:rPr>
        <w:t>Izvještaj o prihodima i rashodima, primicima i izdacima</w:t>
      </w:r>
    </w:p>
    <w:p w14:paraId="1ED757FF" w14:textId="77777777" w:rsidR="005B1CAA" w:rsidRDefault="00000000">
      <w:pPr>
        <w:keepNext/>
        <w:spacing w:line="240" w:lineRule="auto"/>
        <w:jc w:val="center"/>
      </w:pPr>
      <w:r>
        <w:rPr>
          <w:sz w:val="28"/>
        </w:rPr>
        <w:t>Bilješka 1.</w:t>
      </w:r>
    </w:p>
    <w:tbl>
      <w:tblPr>
        <w:tblW w:w="0" w:type="auto"/>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5B1CAA" w14:paraId="0912BB4C"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6579632" w14:textId="77777777" w:rsidR="005B1CAA"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2929DDB9" w14:textId="77777777" w:rsidR="005B1CAA"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62BC8B7" w14:textId="77777777" w:rsidR="005B1CAA"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8BFEB66" w14:textId="77777777" w:rsidR="005B1CAA"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15B67682" w14:textId="77777777" w:rsidR="005B1CAA"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3ED1386" w14:textId="77777777" w:rsidR="005B1CAA" w:rsidRDefault="00000000">
            <w:pPr>
              <w:keepNext/>
              <w:keepLines/>
              <w:spacing w:after="0" w:line="240" w:lineRule="auto"/>
              <w:jc w:val="center"/>
            </w:pPr>
            <w:r>
              <w:rPr>
                <w:b/>
                <w:sz w:val="18"/>
              </w:rPr>
              <w:t>Indeks (%)</w:t>
            </w:r>
          </w:p>
        </w:tc>
      </w:tr>
      <w:tr w:rsidR="005B1CAA" w14:paraId="7B8A05FF" w14:textId="77777777">
        <w:tblPrEx>
          <w:tblCellMar>
            <w:top w:w="0" w:type="dxa"/>
            <w:bottom w:w="0" w:type="dxa"/>
          </w:tblCellMar>
        </w:tblPrEx>
        <w:trPr>
          <w:cantSplit/>
          <w:trHeight w:val="560"/>
        </w:trPr>
        <w:tc>
          <w:tcPr>
            <w:tcW w:w="700" w:type="dxa"/>
            <w:tcMar>
              <w:top w:w="0" w:type="dxa"/>
              <w:bottom w:w="0" w:type="dxa"/>
            </w:tcMar>
            <w:vAlign w:val="center"/>
          </w:tcPr>
          <w:p w14:paraId="2EA80E41" w14:textId="77777777" w:rsidR="005B1CAA" w:rsidRDefault="00000000">
            <w:pPr>
              <w:keepNext/>
              <w:keepLines/>
              <w:spacing w:after="0" w:line="240" w:lineRule="auto"/>
            </w:pPr>
            <w:r>
              <w:rPr>
                <w:sz w:val="18"/>
              </w:rPr>
              <w:t>6</w:t>
            </w:r>
          </w:p>
        </w:tc>
        <w:tc>
          <w:tcPr>
            <w:tcW w:w="3180" w:type="dxa"/>
            <w:tcMar>
              <w:top w:w="0" w:type="dxa"/>
              <w:bottom w:w="0" w:type="dxa"/>
            </w:tcMar>
            <w:vAlign w:val="center"/>
          </w:tcPr>
          <w:p w14:paraId="00379D92" w14:textId="77777777" w:rsidR="005B1CAA" w:rsidRDefault="00000000">
            <w:pPr>
              <w:keepNext/>
              <w:keepLines/>
              <w:spacing w:after="0" w:line="240" w:lineRule="auto"/>
            </w:pPr>
            <w:r>
              <w:rPr>
                <w:sz w:val="18"/>
              </w:rPr>
              <w:t>PRIHODI POSLOVANJA (šifre 61+62+63+64+65+66+67+68)</w:t>
            </w:r>
          </w:p>
        </w:tc>
        <w:tc>
          <w:tcPr>
            <w:tcW w:w="700" w:type="dxa"/>
            <w:tcMar>
              <w:top w:w="0" w:type="dxa"/>
              <w:bottom w:w="0" w:type="dxa"/>
            </w:tcMar>
            <w:vAlign w:val="center"/>
          </w:tcPr>
          <w:p w14:paraId="70A4A83A" w14:textId="77777777" w:rsidR="005B1CAA" w:rsidRDefault="00000000">
            <w:pPr>
              <w:keepNext/>
              <w:keepLines/>
              <w:spacing w:after="0" w:line="240" w:lineRule="auto"/>
            </w:pPr>
            <w:r>
              <w:rPr>
                <w:sz w:val="18"/>
              </w:rPr>
              <w:t>6</w:t>
            </w:r>
          </w:p>
        </w:tc>
        <w:tc>
          <w:tcPr>
            <w:tcW w:w="1860" w:type="dxa"/>
            <w:tcMar>
              <w:top w:w="0" w:type="dxa"/>
              <w:bottom w:w="0" w:type="dxa"/>
            </w:tcMar>
            <w:vAlign w:val="center"/>
          </w:tcPr>
          <w:p w14:paraId="77D6B021" w14:textId="77777777" w:rsidR="005B1CAA" w:rsidRDefault="00000000">
            <w:pPr>
              <w:keepNext/>
              <w:keepLines/>
              <w:spacing w:after="0" w:line="240" w:lineRule="auto"/>
              <w:jc w:val="right"/>
            </w:pPr>
            <w:r>
              <w:rPr>
                <w:sz w:val="18"/>
              </w:rPr>
              <w:t>642.339,07</w:t>
            </w:r>
          </w:p>
        </w:tc>
        <w:tc>
          <w:tcPr>
            <w:tcW w:w="1860" w:type="dxa"/>
            <w:tcMar>
              <w:top w:w="0" w:type="dxa"/>
              <w:bottom w:w="0" w:type="dxa"/>
            </w:tcMar>
            <w:vAlign w:val="center"/>
          </w:tcPr>
          <w:p w14:paraId="022FE258" w14:textId="77777777" w:rsidR="005B1CAA" w:rsidRDefault="00000000">
            <w:pPr>
              <w:keepNext/>
              <w:keepLines/>
              <w:spacing w:after="0" w:line="240" w:lineRule="auto"/>
              <w:jc w:val="right"/>
            </w:pPr>
            <w:r>
              <w:rPr>
                <w:sz w:val="18"/>
              </w:rPr>
              <w:t>981.553,80</w:t>
            </w:r>
          </w:p>
        </w:tc>
        <w:tc>
          <w:tcPr>
            <w:tcW w:w="700" w:type="dxa"/>
            <w:tcMar>
              <w:top w:w="0" w:type="dxa"/>
              <w:bottom w:w="0" w:type="dxa"/>
            </w:tcMar>
            <w:vAlign w:val="center"/>
          </w:tcPr>
          <w:p w14:paraId="020B034B" w14:textId="77777777" w:rsidR="005B1CAA" w:rsidRDefault="00000000">
            <w:pPr>
              <w:keepNext/>
              <w:keepLines/>
              <w:spacing w:after="0" w:line="240" w:lineRule="auto"/>
              <w:jc w:val="right"/>
            </w:pPr>
            <w:r>
              <w:rPr>
                <w:sz w:val="18"/>
              </w:rPr>
              <w:t>152,8</w:t>
            </w:r>
          </w:p>
        </w:tc>
      </w:tr>
      <w:tr w:rsidR="005B1CAA" w14:paraId="5FCA9144" w14:textId="77777777">
        <w:tblPrEx>
          <w:tblCellMar>
            <w:top w:w="0" w:type="dxa"/>
            <w:bottom w:w="0" w:type="dxa"/>
          </w:tblCellMar>
        </w:tblPrEx>
        <w:trPr>
          <w:cantSplit/>
          <w:trHeight w:val="560"/>
        </w:trPr>
        <w:tc>
          <w:tcPr>
            <w:tcW w:w="700" w:type="dxa"/>
            <w:tcMar>
              <w:top w:w="0" w:type="dxa"/>
              <w:bottom w:w="0" w:type="dxa"/>
            </w:tcMar>
            <w:vAlign w:val="center"/>
          </w:tcPr>
          <w:p w14:paraId="79150FD9" w14:textId="77777777" w:rsidR="005B1CAA" w:rsidRDefault="00000000">
            <w:pPr>
              <w:keepNext/>
              <w:keepLines/>
              <w:spacing w:after="0" w:line="240" w:lineRule="auto"/>
            </w:pPr>
            <w:r>
              <w:rPr>
                <w:sz w:val="18"/>
              </w:rPr>
              <w:t>3</w:t>
            </w:r>
          </w:p>
        </w:tc>
        <w:tc>
          <w:tcPr>
            <w:tcW w:w="3180" w:type="dxa"/>
            <w:tcMar>
              <w:top w:w="0" w:type="dxa"/>
              <w:bottom w:w="0" w:type="dxa"/>
            </w:tcMar>
            <w:vAlign w:val="center"/>
          </w:tcPr>
          <w:p w14:paraId="380DF916" w14:textId="77777777" w:rsidR="005B1CAA" w:rsidRDefault="00000000">
            <w:pPr>
              <w:keepNext/>
              <w:keepLines/>
              <w:spacing w:after="0" w:line="240" w:lineRule="auto"/>
            </w:pPr>
            <w:r>
              <w:rPr>
                <w:sz w:val="18"/>
              </w:rPr>
              <w:t>RASHODI POSLOVANJA (šifre 31+32+34+35+36+37+38)</w:t>
            </w:r>
          </w:p>
        </w:tc>
        <w:tc>
          <w:tcPr>
            <w:tcW w:w="700" w:type="dxa"/>
            <w:tcMar>
              <w:top w:w="0" w:type="dxa"/>
              <w:bottom w:w="0" w:type="dxa"/>
            </w:tcMar>
            <w:vAlign w:val="center"/>
          </w:tcPr>
          <w:p w14:paraId="0B198136" w14:textId="77777777" w:rsidR="005B1CAA" w:rsidRDefault="00000000">
            <w:pPr>
              <w:keepNext/>
              <w:keepLines/>
              <w:spacing w:after="0" w:line="240" w:lineRule="auto"/>
            </w:pPr>
            <w:r>
              <w:rPr>
                <w:sz w:val="18"/>
              </w:rPr>
              <w:t>3</w:t>
            </w:r>
          </w:p>
        </w:tc>
        <w:tc>
          <w:tcPr>
            <w:tcW w:w="1860" w:type="dxa"/>
            <w:tcMar>
              <w:top w:w="0" w:type="dxa"/>
              <w:bottom w:w="0" w:type="dxa"/>
            </w:tcMar>
            <w:vAlign w:val="center"/>
          </w:tcPr>
          <w:p w14:paraId="6C7E9B47" w14:textId="77777777" w:rsidR="005B1CAA" w:rsidRDefault="00000000">
            <w:pPr>
              <w:keepNext/>
              <w:keepLines/>
              <w:spacing w:after="0" w:line="240" w:lineRule="auto"/>
              <w:jc w:val="right"/>
            </w:pPr>
            <w:r>
              <w:rPr>
                <w:sz w:val="18"/>
              </w:rPr>
              <w:t>598.601,24</w:t>
            </w:r>
          </w:p>
        </w:tc>
        <w:tc>
          <w:tcPr>
            <w:tcW w:w="1860" w:type="dxa"/>
            <w:tcMar>
              <w:top w:w="0" w:type="dxa"/>
              <w:bottom w:w="0" w:type="dxa"/>
            </w:tcMar>
            <w:vAlign w:val="center"/>
          </w:tcPr>
          <w:p w14:paraId="5017E881" w14:textId="77777777" w:rsidR="005B1CAA" w:rsidRDefault="00000000">
            <w:pPr>
              <w:keepNext/>
              <w:keepLines/>
              <w:spacing w:after="0" w:line="240" w:lineRule="auto"/>
              <w:jc w:val="right"/>
            </w:pPr>
            <w:r>
              <w:rPr>
                <w:sz w:val="18"/>
              </w:rPr>
              <w:t>815.803,44</w:t>
            </w:r>
          </w:p>
        </w:tc>
        <w:tc>
          <w:tcPr>
            <w:tcW w:w="700" w:type="dxa"/>
            <w:tcMar>
              <w:top w:w="0" w:type="dxa"/>
              <w:bottom w:w="0" w:type="dxa"/>
            </w:tcMar>
            <w:vAlign w:val="center"/>
          </w:tcPr>
          <w:p w14:paraId="403F847D" w14:textId="77777777" w:rsidR="005B1CAA" w:rsidRDefault="00000000">
            <w:pPr>
              <w:keepNext/>
              <w:keepLines/>
              <w:spacing w:after="0" w:line="240" w:lineRule="auto"/>
              <w:jc w:val="right"/>
            </w:pPr>
            <w:r>
              <w:rPr>
                <w:sz w:val="18"/>
              </w:rPr>
              <w:t>136,3</w:t>
            </w:r>
          </w:p>
        </w:tc>
      </w:tr>
      <w:tr w:rsidR="005B1CAA" w14:paraId="52024A35" w14:textId="77777777">
        <w:tblPrEx>
          <w:tblCellMar>
            <w:top w:w="0" w:type="dxa"/>
            <w:bottom w:w="0" w:type="dxa"/>
          </w:tblCellMar>
        </w:tblPrEx>
        <w:trPr>
          <w:cantSplit/>
          <w:trHeight w:val="560"/>
        </w:trPr>
        <w:tc>
          <w:tcPr>
            <w:tcW w:w="700" w:type="dxa"/>
            <w:tcMar>
              <w:top w:w="0" w:type="dxa"/>
              <w:bottom w:w="0" w:type="dxa"/>
            </w:tcMar>
            <w:vAlign w:val="center"/>
          </w:tcPr>
          <w:p w14:paraId="7933C015" w14:textId="77777777" w:rsidR="005B1CAA" w:rsidRDefault="005B1CAA">
            <w:pPr>
              <w:keepNext/>
              <w:keepLines/>
              <w:spacing w:after="0" w:line="240" w:lineRule="auto"/>
            </w:pPr>
          </w:p>
        </w:tc>
        <w:tc>
          <w:tcPr>
            <w:tcW w:w="3180" w:type="dxa"/>
            <w:tcMar>
              <w:top w:w="0" w:type="dxa"/>
              <w:bottom w:w="0" w:type="dxa"/>
            </w:tcMar>
            <w:vAlign w:val="center"/>
          </w:tcPr>
          <w:p w14:paraId="515CD26D" w14:textId="77777777" w:rsidR="005B1CAA" w:rsidRDefault="00000000">
            <w:pPr>
              <w:keepNext/>
              <w:keepLines/>
              <w:spacing w:after="0" w:line="240" w:lineRule="auto"/>
            </w:pPr>
            <w:r>
              <w:rPr>
                <w:b/>
                <w:sz w:val="18"/>
              </w:rPr>
              <w:t>VIŠAK PRIHODA POSLOVANJA (šifre 6-Z005)</w:t>
            </w:r>
          </w:p>
        </w:tc>
        <w:tc>
          <w:tcPr>
            <w:tcW w:w="700" w:type="dxa"/>
            <w:tcMar>
              <w:top w:w="0" w:type="dxa"/>
              <w:bottom w:w="0" w:type="dxa"/>
            </w:tcMar>
            <w:vAlign w:val="center"/>
          </w:tcPr>
          <w:p w14:paraId="71016F8B" w14:textId="77777777" w:rsidR="005B1CAA" w:rsidRDefault="00000000">
            <w:pPr>
              <w:keepNext/>
              <w:keepLines/>
              <w:spacing w:after="0" w:line="240" w:lineRule="auto"/>
            </w:pPr>
            <w:r>
              <w:rPr>
                <w:b/>
                <w:sz w:val="18"/>
              </w:rPr>
              <w:t>X001</w:t>
            </w:r>
          </w:p>
        </w:tc>
        <w:tc>
          <w:tcPr>
            <w:tcW w:w="1860" w:type="dxa"/>
            <w:tcMar>
              <w:top w:w="0" w:type="dxa"/>
              <w:bottom w:w="0" w:type="dxa"/>
            </w:tcMar>
            <w:vAlign w:val="center"/>
          </w:tcPr>
          <w:p w14:paraId="5F21206E" w14:textId="77777777" w:rsidR="005B1CAA" w:rsidRDefault="00000000">
            <w:pPr>
              <w:keepNext/>
              <w:keepLines/>
              <w:spacing w:after="0" w:line="240" w:lineRule="auto"/>
              <w:jc w:val="right"/>
            </w:pPr>
            <w:r>
              <w:rPr>
                <w:b/>
                <w:sz w:val="18"/>
              </w:rPr>
              <w:t>43.737,83</w:t>
            </w:r>
          </w:p>
        </w:tc>
        <w:tc>
          <w:tcPr>
            <w:tcW w:w="1860" w:type="dxa"/>
            <w:tcMar>
              <w:top w:w="0" w:type="dxa"/>
              <w:bottom w:w="0" w:type="dxa"/>
            </w:tcMar>
            <w:vAlign w:val="center"/>
          </w:tcPr>
          <w:p w14:paraId="14E5FC66" w14:textId="77777777" w:rsidR="005B1CAA" w:rsidRDefault="00000000">
            <w:pPr>
              <w:keepNext/>
              <w:keepLines/>
              <w:spacing w:after="0" w:line="240" w:lineRule="auto"/>
              <w:jc w:val="right"/>
            </w:pPr>
            <w:r>
              <w:rPr>
                <w:b/>
                <w:sz w:val="18"/>
              </w:rPr>
              <w:t>165.750,36</w:t>
            </w:r>
          </w:p>
        </w:tc>
        <w:tc>
          <w:tcPr>
            <w:tcW w:w="700" w:type="dxa"/>
            <w:tcMar>
              <w:top w:w="0" w:type="dxa"/>
              <w:bottom w:w="0" w:type="dxa"/>
            </w:tcMar>
            <w:vAlign w:val="center"/>
          </w:tcPr>
          <w:p w14:paraId="56107FC3" w14:textId="77777777" w:rsidR="005B1CAA" w:rsidRDefault="00000000">
            <w:pPr>
              <w:keepNext/>
              <w:keepLines/>
              <w:spacing w:after="0" w:line="240" w:lineRule="auto"/>
              <w:jc w:val="right"/>
            </w:pPr>
            <w:r>
              <w:rPr>
                <w:b/>
                <w:sz w:val="18"/>
              </w:rPr>
              <w:t>379,0</w:t>
            </w:r>
          </w:p>
        </w:tc>
      </w:tr>
      <w:tr w:rsidR="005B1CAA" w14:paraId="4E765B9C" w14:textId="77777777">
        <w:tblPrEx>
          <w:tblCellMar>
            <w:top w:w="0" w:type="dxa"/>
            <w:bottom w:w="0" w:type="dxa"/>
          </w:tblCellMar>
        </w:tblPrEx>
        <w:trPr>
          <w:cantSplit/>
          <w:trHeight w:val="560"/>
        </w:trPr>
        <w:tc>
          <w:tcPr>
            <w:tcW w:w="700" w:type="dxa"/>
            <w:tcMar>
              <w:top w:w="0" w:type="dxa"/>
              <w:bottom w:w="0" w:type="dxa"/>
            </w:tcMar>
            <w:vAlign w:val="center"/>
          </w:tcPr>
          <w:p w14:paraId="3CE5C273" w14:textId="77777777" w:rsidR="005B1CAA" w:rsidRDefault="00000000">
            <w:pPr>
              <w:keepNext/>
              <w:keepLines/>
              <w:spacing w:after="0" w:line="240" w:lineRule="auto"/>
            </w:pPr>
            <w:r>
              <w:rPr>
                <w:sz w:val="18"/>
              </w:rPr>
              <w:t>7</w:t>
            </w:r>
          </w:p>
        </w:tc>
        <w:tc>
          <w:tcPr>
            <w:tcW w:w="3180" w:type="dxa"/>
            <w:tcMar>
              <w:top w:w="0" w:type="dxa"/>
              <w:bottom w:w="0" w:type="dxa"/>
            </w:tcMar>
            <w:vAlign w:val="center"/>
          </w:tcPr>
          <w:p w14:paraId="55617E88" w14:textId="77777777" w:rsidR="005B1CAA" w:rsidRDefault="00000000">
            <w:pPr>
              <w:keepNext/>
              <w:keepLines/>
              <w:spacing w:after="0" w:line="240" w:lineRule="auto"/>
            </w:pPr>
            <w:r>
              <w:rPr>
                <w:sz w:val="18"/>
              </w:rPr>
              <w:t>Prihodi od prodaje nefinancijske imovine (šifre 71+72+73+74)</w:t>
            </w:r>
          </w:p>
        </w:tc>
        <w:tc>
          <w:tcPr>
            <w:tcW w:w="700" w:type="dxa"/>
            <w:tcMar>
              <w:top w:w="0" w:type="dxa"/>
              <w:bottom w:w="0" w:type="dxa"/>
            </w:tcMar>
            <w:vAlign w:val="center"/>
          </w:tcPr>
          <w:p w14:paraId="18400F8F" w14:textId="77777777" w:rsidR="005B1CAA" w:rsidRDefault="00000000">
            <w:pPr>
              <w:keepNext/>
              <w:keepLines/>
              <w:spacing w:after="0" w:line="240" w:lineRule="auto"/>
            </w:pPr>
            <w:r>
              <w:rPr>
                <w:sz w:val="18"/>
              </w:rPr>
              <w:t>7</w:t>
            </w:r>
          </w:p>
        </w:tc>
        <w:tc>
          <w:tcPr>
            <w:tcW w:w="1860" w:type="dxa"/>
            <w:tcMar>
              <w:top w:w="0" w:type="dxa"/>
              <w:bottom w:w="0" w:type="dxa"/>
            </w:tcMar>
            <w:vAlign w:val="center"/>
          </w:tcPr>
          <w:p w14:paraId="6CA1A6DB" w14:textId="77777777" w:rsidR="005B1CAA" w:rsidRDefault="00000000">
            <w:pPr>
              <w:keepNext/>
              <w:keepLines/>
              <w:spacing w:after="0" w:line="240" w:lineRule="auto"/>
              <w:jc w:val="right"/>
            </w:pPr>
            <w:r>
              <w:rPr>
                <w:sz w:val="18"/>
              </w:rPr>
              <w:t>1.554,00</w:t>
            </w:r>
          </w:p>
        </w:tc>
        <w:tc>
          <w:tcPr>
            <w:tcW w:w="1860" w:type="dxa"/>
            <w:tcMar>
              <w:top w:w="0" w:type="dxa"/>
              <w:bottom w:w="0" w:type="dxa"/>
            </w:tcMar>
            <w:vAlign w:val="center"/>
          </w:tcPr>
          <w:p w14:paraId="108B0B75" w14:textId="77777777" w:rsidR="005B1CAA" w:rsidRDefault="00000000">
            <w:pPr>
              <w:keepNext/>
              <w:keepLines/>
              <w:spacing w:after="0" w:line="240" w:lineRule="auto"/>
              <w:jc w:val="right"/>
            </w:pPr>
            <w:r>
              <w:rPr>
                <w:sz w:val="18"/>
              </w:rPr>
              <w:t>2.498,00</w:t>
            </w:r>
          </w:p>
        </w:tc>
        <w:tc>
          <w:tcPr>
            <w:tcW w:w="700" w:type="dxa"/>
            <w:tcMar>
              <w:top w:w="0" w:type="dxa"/>
              <w:bottom w:w="0" w:type="dxa"/>
            </w:tcMar>
            <w:vAlign w:val="center"/>
          </w:tcPr>
          <w:p w14:paraId="4143508F" w14:textId="77777777" w:rsidR="005B1CAA" w:rsidRDefault="00000000">
            <w:pPr>
              <w:keepNext/>
              <w:keepLines/>
              <w:spacing w:after="0" w:line="240" w:lineRule="auto"/>
              <w:jc w:val="right"/>
            </w:pPr>
            <w:r>
              <w:rPr>
                <w:sz w:val="18"/>
              </w:rPr>
              <w:t>160,7</w:t>
            </w:r>
          </w:p>
        </w:tc>
      </w:tr>
      <w:tr w:rsidR="005B1CAA" w14:paraId="01DF09EE" w14:textId="77777777">
        <w:tblPrEx>
          <w:tblCellMar>
            <w:top w:w="0" w:type="dxa"/>
            <w:bottom w:w="0" w:type="dxa"/>
          </w:tblCellMar>
        </w:tblPrEx>
        <w:trPr>
          <w:cantSplit/>
          <w:trHeight w:val="560"/>
        </w:trPr>
        <w:tc>
          <w:tcPr>
            <w:tcW w:w="700" w:type="dxa"/>
            <w:tcMar>
              <w:top w:w="0" w:type="dxa"/>
              <w:bottom w:w="0" w:type="dxa"/>
            </w:tcMar>
            <w:vAlign w:val="center"/>
          </w:tcPr>
          <w:p w14:paraId="2DA54B76" w14:textId="77777777" w:rsidR="005B1CAA" w:rsidRDefault="00000000">
            <w:pPr>
              <w:keepNext/>
              <w:keepLines/>
              <w:spacing w:after="0" w:line="240" w:lineRule="auto"/>
            </w:pPr>
            <w:r>
              <w:rPr>
                <w:sz w:val="18"/>
              </w:rPr>
              <w:t>4</w:t>
            </w:r>
          </w:p>
        </w:tc>
        <w:tc>
          <w:tcPr>
            <w:tcW w:w="3180" w:type="dxa"/>
            <w:tcMar>
              <w:top w:w="0" w:type="dxa"/>
              <w:bottom w:w="0" w:type="dxa"/>
            </w:tcMar>
            <w:vAlign w:val="center"/>
          </w:tcPr>
          <w:p w14:paraId="394CB4E6" w14:textId="77777777" w:rsidR="005B1CAA" w:rsidRDefault="00000000">
            <w:pPr>
              <w:keepNext/>
              <w:keepLines/>
              <w:spacing w:after="0" w:line="240" w:lineRule="auto"/>
            </w:pPr>
            <w:r>
              <w:rPr>
                <w:sz w:val="18"/>
              </w:rPr>
              <w:t>Rashodi za nabavu nefinancijske imovine (šifre 41+42+43+44+45)</w:t>
            </w:r>
          </w:p>
        </w:tc>
        <w:tc>
          <w:tcPr>
            <w:tcW w:w="700" w:type="dxa"/>
            <w:tcMar>
              <w:top w:w="0" w:type="dxa"/>
              <w:bottom w:w="0" w:type="dxa"/>
            </w:tcMar>
            <w:vAlign w:val="center"/>
          </w:tcPr>
          <w:p w14:paraId="4EC4BCE3" w14:textId="77777777" w:rsidR="005B1CAA" w:rsidRDefault="00000000">
            <w:pPr>
              <w:keepNext/>
              <w:keepLines/>
              <w:spacing w:after="0" w:line="240" w:lineRule="auto"/>
            </w:pPr>
            <w:r>
              <w:rPr>
                <w:sz w:val="18"/>
              </w:rPr>
              <w:t>4</w:t>
            </w:r>
          </w:p>
        </w:tc>
        <w:tc>
          <w:tcPr>
            <w:tcW w:w="1860" w:type="dxa"/>
            <w:tcMar>
              <w:top w:w="0" w:type="dxa"/>
              <w:bottom w:w="0" w:type="dxa"/>
            </w:tcMar>
            <w:vAlign w:val="center"/>
          </w:tcPr>
          <w:p w14:paraId="6C8F286E" w14:textId="77777777" w:rsidR="005B1CAA" w:rsidRDefault="00000000">
            <w:pPr>
              <w:keepNext/>
              <w:keepLines/>
              <w:spacing w:after="0" w:line="240" w:lineRule="auto"/>
              <w:jc w:val="right"/>
            </w:pPr>
            <w:r>
              <w:rPr>
                <w:sz w:val="18"/>
              </w:rPr>
              <w:t>213.833,63</w:t>
            </w:r>
          </w:p>
        </w:tc>
        <w:tc>
          <w:tcPr>
            <w:tcW w:w="1860" w:type="dxa"/>
            <w:tcMar>
              <w:top w:w="0" w:type="dxa"/>
              <w:bottom w:w="0" w:type="dxa"/>
            </w:tcMar>
            <w:vAlign w:val="center"/>
          </w:tcPr>
          <w:p w14:paraId="4B0EE73E" w14:textId="77777777" w:rsidR="005B1CAA" w:rsidRDefault="00000000">
            <w:pPr>
              <w:keepNext/>
              <w:keepLines/>
              <w:spacing w:after="0" w:line="240" w:lineRule="auto"/>
              <w:jc w:val="right"/>
            </w:pPr>
            <w:r>
              <w:rPr>
                <w:sz w:val="18"/>
              </w:rPr>
              <w:t>226.327,42</w:t>
            </w:r>
          </w:p>
        </w:tc>
        <w:tc>
          <w:tcPr>
            <w:tcW w:w="700" w:type="dxa"/>
            <w:tcMar>
              <w:top w:w="0" w:type="dxa"/>
              <w:bottom w:w="0" w:type="dxa"/>
            </w:tcMar>
            <w:vAlign w:val="center"/>
          </w:tcPr>
          <w:p w14:paraId="15CA02ED" w14:textId="77777777" w:rsidR="005B1CAA" w:rsidRDefault="00000000">
            <w:pPr>
              <w:keepNext/>
              <w:keepLines/>
              <w:spacing w:after="0" w:line="240" w:lineRule="auto"/>
              <w:jc w:val="right"/>
            </w:pPr>
            <w:r>
              <w:rPr>
                <w:sz w:val="18"/>
              </w:rPr>
              <w:t>105,8</w:t>
            </w:r>
          </w:p>
        </w:tc>
      </w:tr>
      <w:tr w:rsidR="005B1CAA" w14:paraId="4824732D" w14:textId="77777777">
        <w:tblPrEx>
          <w:tblCellMar>
            <w:top w:w="0" w:type="dxa"/>
            <w:bottom w:w="0" w:type="dxa"/>
          </w:tblCellMar>
        </w:tblPrEx>
        <w:trPr>
          <w:cantSplit/>
          <w:trHeight w:val="560"/>
        </w:trPr>
        <w:tc>
          <w:tcPr>
            <w:tcW w:w="700" w:type="dxa"/>
            <w:tcMar>
              <w:top w:w="0" w:type="dxa"/>
              <w:bottom w:w="0" w:type="dxa"/>
            </w:tcMar>
            <w:vAlign w:val="center"/>
          </w:tcPr>
          <w:p w14:paraId="648C9C0B" w14:textId="77777777" w:rsidR="005B1CAA" w:rsidRDefault="005B1CAA">
            <w:pPr>
              <w:keepNext/>
              <w:keepLines/>
              <w:spacing w:after="0" w:line="240" w:lineRule="auto"/>
            </w:pPr>
          </w:p>
        </w:tc>
        <w:tc>
          <w:tcPr>
            <w:tcW w:w="3180" w:type="dxa"/>
            <w:tcMar>
              <w:top w:w="0" w:type="dxa"/>
              <w:bottom w:w="0" w:type="dxa"/>
            </w:tcMar>
            <w:vAlign w:val="center"/>
          </w:tcPr>
          <w:p w14:paraId="014B2EC4" w14:textId="77777777" w:rsidR="005B1CAA" w:rsidRDefault="00000000">
            <w:pPr>
              <w:keepNext/>
              <w:keepLines/>
              <w:spacing w:after="0" w:line="240" w:lineRule="auto"/>
            </w:pPr>
            <w:r>
              <w:rPr>
                <w:b/>
                <w:sz w:val="18"/>
              </w:rPr>
              <w:t>MANJAK PRIHODA OD NEFINANCIJSKE IMOVINE (šifre 4-7)</w:t>
            </w:r>
          </w:p>
        </w:tc>
        <w:tc>
          <w:tcPr>
            <w:tcW w:w="700" w:type="dxa"/>
            <w:tcMar>
              <w:top w:w="0" w:type="dxa"/>
              <w:bottom w:w="0" w:type="dxa"/>
            </w:tcMar>
            <w:vAlign w:val="center"/>
          </w:tcPr>
          <w:p w14:paraId="3C4DB460" w14:textId="77777777" w:rsidR="005B1CAA" w:rsidRDefault="00000000">
            <w:pPr>
              <w:keepNext/>
              <w:keepLines/>
              <w:spacing w:after="0" w:line="240" w:lineRule="auto"/>
            </w:pPr>
            <w:r>
              <w:rPr>
                <w:b/>
                <w:sz w:val="18"/>
              </w:rPr>
              <w:t>Y002</w:t>
            </w:r>
          </w:p>
        </w:tc>
        <w:tc>
          <w:tcPr>
            <w:tcW w:w="1860" w:type="dxa"/>
            <w:tcMar>
              <w:top w:w="0" w:type="dxa"/>
              <w:bottom w:w="0" w:type="dxa"/>
            </w:tcMar>
            <w:vAlign w:val="center"/>
          </w:tcPr>
          <w:p w14:paraId="0C0D8FEF" w14:textId="77777777" w:rsidR="005B1CAA" w:rsidRDefault="00000000">
            <w:pPr>
              <w:keepNext/>
              <w:keepLines/>
              <w:spacing w:after="0" w:line="240" w:lineRule="auto"/>
              <w:jc w:val="right"/>
            </w:pPr>
            <w:r>
              <w:rPr>
                <w:b/>
                <w:sz w:val="18"/>
              </w:rPr>
              <w:t>212.279,63</w:t>
            </w:r>
          </w:p>
        </w:tc>
        <w:tc>
          <w:tcPr>
            <w:tcW w:w="1860" w:type="dxa"/>
            <w:tcMar>
              <w:top w:w="0" w:type="dxa"/>
              <w:bottom w:w="0" w:type="dxa"/>
            </w:tcMar>
            <w:vAlign w:val="center"/>
          </w:tcPr>
          <w:p w14:paraId="7F578695" w14:textId="77777777" w:rsidR="005B1CAA" w:rsidRDefault="00000000">
            <w:pPr>
              <w:keepNext/>
              <w:keepLines/>
              <w:spacing w:after="0" w:line="240" w:lineRule="auto"/>
              <w:jc w:val="right"/>
            </w:pPr>
            <w:r>
              <w:rPr>
                <w:b/>
                <w:sz w:val="18"/>
              </w:rPr>
              <w:t>223.829,42</w:t>
            </w:r>
          </w:p>
        </w:tc>
        <w:tc>
          <w:tcPr>
            <w:tcW w:w="700" w:type="dxa"/>
            <w:tcMar>
              <w:top w:w="0" w:type="dxa"/>
              <w:bottom w:w="0" w:type="dxa"/>
            </w:tcMar>
            <w:vAlign w:val="center"/>
          </w:tcPr>
          <w:p w14:paraId="5BD2FC43" w14:textId="77777777" w:rsidR="005B1CAA" w:rsidRDefault="00000000">
            <w:pPr>
              <w:keepNext/>
              <w:keepLines/>
              <w:spacing w:after="0" w:line="240" w:lineRule="auto"/>
              <w:jc w:val="right"/>
            </w:pPr>
            <w:r>
              <w:rPr>
                <w:b/>
                <w:sz w:val="18"/>
              </w:rPr>
              <w:t>105,4</w:t>
            </w:r>
          </w:p>
        </w:tc>
      </w:tr>
      <w:tr w:rsidR="005B1CAA" w14:paraId="32FE981B" w14:textId="77777777">
        <w:tblPrEx>
          <w:tblCellMar>
            <w:top w:w="0" w:type="dxa"/>
            <w:bottom w:w="0" w:type="dxa"/>
          </w:tblCellMar>
        </w:tblPrEx>
        <w:trPr>
          <w:cantSplit/>
          <w:trHeight w:val="560"/>
        </w:trPr>
        <w:tc>
          <w:tcPr>
            <w:tcW w:w="700" w:type="dxa"/>
            <w:tcMar>
              <w:top w:w="0" w:type="dxa"/>
              <w:bottom w:w="0" w:type="dxa"/>
            </w:tcMar>
            <w:vAlign w:val="center"/>
          </w:tcPr>
          <w:p w14:paraId="39636136" w14:textId="77777777" w:rsidR="005B1CAA" w:rsidRDefault="00000000">
            <w:pPr>
              <w:keepNext/>
              <w:keepLines/>
              <w:spacing w:after="0" w:line="240" w:lineRule="auto"/>
            </w:pPr>
            <w:r>
              <w:rPr>
                <w:sz w:val="18"/>
              </w:rPr>
              <w:t>8</w:t>
            </w:r>
          </w:p>
        </w:tc>
        <w:tc>
          <w:tcPr>
            <w:tcW w:w="3180" w:type="dxa"/>
            <w:tcMar>
              <w:top w:w="0" w:type="dxa"/>
              <w:bottom w:w="0" w:type="dxa"/>
            </w:tcMar>
            <w:vAlign w:val="center"/>
          </w:tcPr>
          <w:p w14:paraId="3495229E" w14:textId="77777777" w:rsidR="005B1CAA" w:rsidRDefault="00000000">
            <w:pPr>
              <w:keepNext/>
              <w:keepLines/>
              <w:spacing w:after="0" w:line="240" w:lineRule="auto"/>
            </w:pPr>
            <w:r>
              <w:rPr>
                <w:sz w:val="18"/>
              </w:rPr>
              <w:t>Primici od financijske imovine i zaduživanja (šifre 81+82+83+84+85)</w:t>
            </w:r>
          </w:p>
        </w:tc>
        <w:tc>
          <w:tcPr>
            <w:tcW w:w="700" w:type="dxa"/>
            <w:tcMar>
              <w:top w:w="0" w:type="dxa"/>
              <w:bottom w:w="0" w:type="dxa"/>
            </w:tcMar>
            <w:vAlign w:val="center"/>
          </w:tcPr>
          <w:p w14:paraId="585DE49C" w14:textId="77777777" w:rsidR="005B1CAA" w:rsidRDefault="00000000">
            <w:pPr>
              <w:keepNext/>
              <w:keepLines/>
              <w:spacing w:after="0" w:line="240" w:lineRule="auto"/>
            </w:pPr>
            <w:r>
              <w:rPr>
                <w:sz w:val="18"/>
              </w:rPr>
              <w:t>8</w:t>
            </w:r>
          </w:p>
        </w:tc>
        <w:tc>
          <w:tcPr>
            <w:tcW w:w="1860" w:type="dxa"/>
            <w:tcMar>
              <w:top w:w="0" w:type="dxa"/>
              <w:bottom w:w="0" w:type="dxa"/>
            </w:tcMar>
            <w:vAlign w:val="center"/>
          </w:tcPr>
          <w:p w14:paraId="25180D04" w14:textId="77777777" w:rsidR="005B1CAA" w:rsidRDefault="00000000">
            <w:pPr>
              <w:keepNext/>
              <w:keepLines/>
              <w:spacing w:after="0" w:line="240" w:lineRule="auto"/>
              <w:jc w:val="right"/>
            </w:pPr>
            <w:r>
              <w:rPr>
                <w:sz w:val="18"/>
              </w:rPr>
              <w:t>0,00</w:t>
            </w:r>
          </w:p>
        </w:tc>
        <w:tc>
          <w:tcPr>
            <w:tcW w:w="1860" w:type="dxa"/>
            <w:tcMar>
              <w:top w:w="0" w:type="dxa"/>
              <w:bottom w:w="0" w:type="dxa"/>
            </w:tcMar>
            <w:vAlign w:val="center"/>
          </w:tcPr>
          <w:p w14:paraId="26B80BDA" w14:textId="77777777" w:rsidR="005B1CAA" w:rsidRDefault="00000000">
            <w:pPr>
              <w:keepNext/>
              <w:keepLines/>
              <w:spacing w:after="0" w:line="240" w:lineRule="auto"/>
              <w:jc w:val="right"/>
            </w:pPr>
            <w:r>
              <w:rPr>
                <w:sz w:val="18"/>
              </w:rPr>
              <w:t>0,00</w:t>
            </w:r>
          </w:p>
        </w:tc>
        <w:tc>
          <w:tcPr>
            <w:tcW w:w="700" w:type="dxa"/>
            <w:tcMar>
              <w:top w:w="0" w:type="dxa"/>
              <w:bottom w:w="0" w:type="dxa"/>
            </w:tcMar>
            <w:vAlign w:val="center"/>
          </w:tcPr>
          <w:p w14:paraId="7DAB62EA" w14:textId="77777777" w:rsidR="005B1CAA" w:rsidRDefault="00000000">
            <w:pPr>
              <w:keepNext/>
              <w:keepLines/>
              <w:spacing w:after="0" w:line="240" w:lineRule="auto"/>
              <w:jc w:val="right"/>
            </w:pPr>
            <w:r>
              <w:rPr>
                <w:sz w:val="18"/>
              </w:rPr>
              <w:t>-</w:t>
            </w:r>
          </w:p>
        </w:tc>
      </w:tr>
      <w:tr w:rsidR="005B1CAA" w14:paraId="294E522F" w14:textId="77777777">
        <w:tblPrEx>
          <w:tblCellMar>
            <w:top w:w="0" w:type="dxa"/>
            <w:bottom w:w="0" w:type="dxa"/>
          </w:tblCellMar>
        </w:tblPrEx>
        <w:trPr>
          <w:cantSplit/>
          <w:trHeight w:val="560"/>
        </w:trPr>
        <w:tc>
          <w:tcPr>
            <w:tcW w:w="700" w:type="dxa"/>
            <w:tcMar>
              <w:top w:w="0" w:type="dxa"/>
              <w:bottom w:w="0" w:type="dxa"/>
            </w:tcMar>
            <w:vAlign w:val="center"/>
          </w:tcPr>
          <w:p w14:paraId="6C1E0944" w14:textId="77777777" w:rsidR="005B1CAA" w:rsidRDefault="00000000">
            <w:pPr>
              <w:keepNext/>
              <w:keepLines/>
              <w:spacing w:after="0" w:line="240" w:lineRule="auto"/>
            </w:pPr>
            <w:r>
              <w:rPr>
                <w:sz w:val="18"/>
              </w:rPr>
              <w:t>5</w:t>
            </w:r>
          </w:p>
        </w:tc>
        <w:tc>
          <w:tcPr>
            <w:tcW w:w="3180" w:type="dxa"/>
            <w:tcMar>
              <w:top w:w="0" w:type="dxa"/>
              <w:bottom w:w="0" w:type="dxa"/>
            </w:tcMar>
            <w:vAlign w:val="center"/>
          </w:tcPr>
          <w:p w14:paraId="57565E27" w14:textId="77777777" w:rsidR="005B1CAA" w:rsidRDefault="00000000">
            <w:pPr>
              <w:keepNext/>
              <w:keepLines/>
              <w:spacing w:after="0" w:line="240" w:lineRule="auto"/>
            </w:pPr>
            <w:r>
              <w:rPr>
                <w:sz w:val="18"/>
              </w:rPr>
              <w:t>Izdaci za financijsku imovinu i otplate zajmova (šifre 51+52+53+54+55)</w:t>
            </w:r>
          </w:p>
        </w:tc>
        <w:tc>
          <w:tcPr>
            <w:tcW w:w="700" w:type="dxa"/>
            <w:tcMar>
              <w:top w:w="0" w:type="dxa"/>
              <w:bottom w:w="0" w:type="dxa"/>
            </w:tcMar>
            <w:vAlign w:val="center"/>
          </w:tcPr>
          <w:p w14:paraId="2766E01A" w14:textId="77777777" w:rsidR="005B1CAA" w:rsidRDefault="00000000">
            <w:pPr>
              <w:keepNext/>
              <w:keepLines/>
              <w:spacing w:after="0" w:line="240" w:lineRule="auto"/>
            </w:pPr>
            <w:r>
              <w:rPr>
                <w:sz w:val="18"/>
              </w:rPr>
              <w:t>5</w:t>
            </w:r>
          </w:p>
        </w:tc>
        <w:tc>
          <w:tcPr>
            <w:tcW w:w="1860" w:type="dxa"/>
            <w:tcMar>
              <w:top w:w="0" w:type="dxa"/>
              <w:bottom w:w="0" w:type="dxa"/>
            </w:tcMar>
            <w:vAlign w:val="center"/>
          </w:tcPr>
          <w:p w14:paraId="30B0086F" w14:textId="77777777" w:rsidR="005B1CAA" w:rsidRDefault="00000000">
            <w:pPr>
              <w:keepNext/>
              <w:keepLines/>
              <w:spacing w:after="0" w:line="240" w:lineRule="auto"/>
              <w:jc w:val="right"/>
            </w:pPr>
            <w:r>
              <w:rPr>
                <w:sz w:val="18"/>
              </w:rPr>
              <w:t>0,00</w:t>
            </w:r>
          </w:p>
        </w:tc>
        <w:tc>
          <w:tcPr>
            <w:tcW w:w="1860" w:type="dxa"/>
            <w:tcMar>
              <w:top w:w="0" w:type="dxa"/>
              <w:bottom w:w="0" w:type="dxa"/>
            </w:tcMar>
            <w:vAlign w:val="center"/>
          </w:tcPr>
          <w:p w14:paraId="6C404CA2" w14:textId="77777777" w:rsidR="005B1CAA" w:rsidRDefault="00000000">
            <w:pPr>
              <w:keepNext/>
              <w:keepLines/>
              <w:spacing w:after="0" w:line="240" w:lineRule="auto"/>
              <w:jc w:val="right"/>
            </w:pPr>
            <w:r>
              <w:rPr>
                <w:sz w:val="18"/>
              </w:rPr>
              <w:t>0,00</w:t>
            </w:r>
          </w:p>
        </w:tc>
        <w:tc>
          <w:tcPr>
            <w:tcW w:w="700" w:type="dxa"/>
            <w:tcMar>
              <w:top w:w="0" w:type="dxa"/>
              <w:bottom w:w="0" w:type="dxa"/>
            </w:tcMar>
            <w:vAlign w:val="center"/>
          </w:tcPr>
          <w:p w14:paraId="79C8D989" w14:textId="77777777" w:rsidR="005B1CAA" w:rsidRDefault="00000000">
            <w:pPr>
              <w:keepNext/>
              <w:keepLines/>
              <w:spacing w:after="0" w:line="240" w:lineRule="auto"/>
              <w:jc w:val="right"/>
            </w:pPr>
            <w:r>
              <w:rPr>
                <w:sz w:val="18"/>
              </w:rPr>
              <w:t>-</w:t>
            </w:r>
          </w:p>
        </w:tc>
      </w:tr>
      <w:tr w:rsidR="005B1CAA" w14:paraId="0BD22010" w14:textId="77777777">
        <w:tblPrEx>
          <w:tblCellMar>
            <w:top w:w="0" w:type="dxa"/>
            <w:bottom w:w="0" w:type="dxa"/>
          </w:tblCellMar>
        </w:tblPrEx>
        <w:trPr>
          <w:cantSplit/>
          <w:trHeight w:val="560"/>
        </w:trPr>
        <w:tc>
          <w:tcPr>
            <w:tcW w:w="700" w:type="dxa"/>
            <w:tcMar>
              <w:top w:w="0" w:type="dxa"/>
              <w:bottom w:w="0" w:type="dxa"/>
            </w:tcMar>
            <w:vAlign w:val="center"/>
          </w:tcPr>
          <w:p w14:paraId="3CB3A0D4" w14:textId="77777777" w:rsidR="005B1CAA" w:rsidRDefault="005B1CAA">
            <w:pPr>
              <w:keepNext/>
              <w:keepLines/>
              <w:spacing w:after="0" w:line="240" w:lineRule="auto"/>
            </w:pPr>
          </w:p>
        </w:tc>
        <w:tc>
          <w:tcPr>
            <w:tcW w:w="3180" w:type="dxa"/>
            <w:tcMar>
              <w:top w:w="0" w:type="dxa"/>
              <w:bottom w:w="0" w:type="dxa"/>
            </w:tcMar>
            <w:vAlign w:val="center"/>
          </w:tcPr>
          <w:p w14:paraId="522DB0FE" w14:textId="77777777" w:rsidR="005B1CAA" w:rsidRDefault="00000000">
            <w:pPr>
              <w:keepNext/>
              <w:keepLines/>
              <w:spacing w:after="0" w:line="240" w:lineRule="auto"/>
            </w:pPr>
            <w:r>
              <w:rPr>
                <w:b/>
                <w:sz w:val="18"/>
              </w:rPr>
              <w:t>VIŠAK/MANJAK PRIMITAKA OD FINANCIJSKE IMOVINE I ZADUŽIVANJA (šifre 8-5, 5-8)</w:t>
            </w:r>
          </w:p>
        </w:tc>
        <w:tc>
          <w:tcPr>
            <w:tcW w:w="700" w:type="dxa"/>
            <w:tcMar>
              <w:top w:w="0" w:type="dxa"/>
              <w:bottom w:w="0" w:type="dxa"/>
            </w:tcMar>
            <w:vAlign w:val="center"/>
          </w:tcPr>
          <w:p w14:paraId="3DEBE128" w14:textId="77777777" w:rsidR="005B1CAA" w:rsidRDefault="00000000">
            <w:pPr>
              <w:keepNext/>
              <w:keepLines/>
              <w:spacing w:after="0" w:line="240" w:lineRule="auto"/>
            </w:pPr>
            <w:r>
              <w:rPr>
                <w:b/>
                <w:sz w:val="18"/>
              </w:rPr>
              <w:t>X003, Y003</w:t>
            </w:r>
          </w:p>
        </w:tc>
        <w:tc>
          <w:tcPr>
            <w:tcW w:w="1860" w:type="dxa"/>
            <w:tcMar>
              <w:top w:w="0" w:type="dxa"/>
              <w:bottom w:w="0" w:type="dxa"/>
            </w:tcMar>
            <w:vAlign w:val="center"/>
          </w:tcPr>
          <w:p w14:paraId="1D29900E" w14:textId="77777777" w:rsidR="005B1CAA" w:rsidRDefault="00000000">
            <w:pPr>
              <w:keepNext/>
              <w:keepLines/>
              <w:spacing w:after="0" w:line="240" w:lineRule="auto"/>
              <w:jc w:val="right"/>
            </w:pPr>
            <w:r>
              <w:rPr>
                <w:b/>
                <w:sz w:val="18"/>
              </w:rPr>
              <w:t>0,00</w:t>
            </w:r>
          </w:p>
        </w:tc>
        <w:tc>
          <w:tcPr>
            <w:tcW w:w="1860" w:type="dxa"/>
            <w:tcMar>
              <w:top w:w="0" w:type="dxa"/>
              <w:bottom w:w="0" w:type="dxa"/>
            </w:tcMar>
            <w:vAlign w:val="center"/>
          </w:tcPr>
          <w:p w14:paraId="5E88185D" w14:textId="77777777" w:rsidR="005B1CAA" w:rsidRDefault="00000000">
            <w:pPr>
              <w:keepNext/>
              <w:keepLines/>
              <w:spacing w:after="0" w:line="240" w:lineRule="auto"/>
              <w:jc w:val="right"/>
            </w:pPr>
            <w:r>
              <w:rPr>
                <w:b/>
                <w:sz w:val="18"/>
              </w:rPr>
              <w:t>0,00</w:t>
            </w:r>
          </w:p>
        </w:tc>
        <w:tc>
          <w:tcPr>
            <w:tcW w:w="700" w:type="dxa"/>
            <w:tcMar>
              <w:top w:w="0" w:type="dxa"/>
              <w:bottom w:w="0" w:type="dxa"/>
            </w:tcMar>
            <w:vAlign w:val="center"/>
          </w:tcPr>
          <w:p w14:paraId="261B993A" w14:textId="77777777" w:rsidR="005B1CAA" w:rsidRDefault="00000000">
            <w:pPr>
              <w:keepNext/>
              <w:keepLines/>
              <w:spacing w:after="0" w:line="240" w:lineRule="auto"/>
              <w:jc w:val="right"/>
            </w:pPr>
            <w:r>
              <w:rPr>
                <w:b/>
                <w:sz w:val="18"/>
              </w:rPr>
              <w:t>-</w:t>
            </w:r>
          </w:p>
        </w:tc>
      </w:tr>
      <w:tr w:rsidR="005B1CAA" w14:paraId="7A8416A9" w14:textId="77777777">
        <w:tblPrEx>
          <w:tblCellMar>
            <w:top w:w="0" w:type="dxa"/>
            <w:bottom w:w="0" w:type="dxa"/>
          </w:tblCellMar>
        </w:tblPrEx>
        <w:trPr>
          <w:cantSplit/>
          <w:trHeight w:val="560"/>
        </w:trPr>
        <w:tc>
          <w:tcPr>
            <w:tcW w:w="700" w:type="dxa"/>
            <w:tcMar>
              <w:top w:w="0" w:type="dxa"/>
              <w:bottom w:w="0" w:type="dxa"/>
            </w:tcMar>
            <w:vAlign w:val="center"/>
          </w:tcPr>
          <w:p w14:paraId="1724BF0F" w14:textId="77777777" w:rsidR="005B1CAA" w:rsidRDefault="005B1CAA">
            <w:pPr>
              <w:keepNext/>
              <w:keepLines/>
              <w:spacing w:after="0" w:line="240" w:lineRule="auto"/>
            </w:pPr>
          </w:p>
        </w:tc>
        <w:tc>
          <w:tcPr>
            <w:tcW w:w="3180" w:type="dxa"/>
            <w:tcMar>
              <w:top w:w="0" w:type="dxa"/>
              <w:bottom w:w="0" w:type="dxa"/>
            </w:tcMar>
            <w:vAlign w:val="center"/>
          </w:tcPr>
          <w:p w14:paraId="77C27398" w14:textId="77777777" w:rsidR="005B1CAA" w:rsidRDefault="00000000">
            <w:pPr>
              <w:keepNext/>
              <w:keepLines/>
              <w:spacing w:after="0" w:line="240" w:lineRule="auto"/>
            </w:pPr>
            <w:r>
              <w:rPr>
                <w:b/>
                <w:sz w:val="18"/>
              </w:rPr>
              <w:t>MANJAK PRIHODA I PRIMITAKA (šifre Y345-X678)</w:t>
            </w:r>
          </w:p>
        </w:tc>
        <w:tc>
          <w:tcPr>
            <w:tcW w:w="700" w:type="dxa"/>
            <w:tcMar>
              <w:top w:w="0" w:type="dxa"/>
              <w:bottom w:w="0" w:type="dxa"/>
            </w:tcMar>
            <w:vAlign w:val="center"/>
          </w:tcPr>
          <w:p w14:paraId="79D9838E" w14:textId="77777777" w:rsidR="005B1CAA" w:rsidRDefault="00000000">
            <w:pPr>
              <w:keepNext/>
              <w:keepLines/>
              <w:spacing w:after="0" w:line="240" w:lineRule="auto"/>
            </w:pPr>
            <w:r>
              <w:rPr>
                <w:b/>
                <w:sz w:val="18"/>
              </w:rPr>
              <w:t>Y005</w:t>
            </w:r>
          </w:p>
        </w:tc>
        <w:tc>
          <w:tcPr>
            <w:tcW w:w="1860" w:type="dxa"/>
            <w:tcMar>
              <w:top w:w="0" w:type="dxa"/>
              <w:bottom w:w="0" w:type="dxa"/>
            </w:tcMar>
            <w:vAlign w:val="center"/>
          </w:tcPr>
          <w:p w14:paraId="2898C9CF" w14:textId="77777777" w:rsidR="005B1CAA" w:rsidRDefault="00000000">
            <w:pPr>
              <w:keepNext/>
              <w:keepLines/>
              <w:spacing w:after="0" w:line="240" w:lineRule="auto"/>
              <w:jc w:val="right"/>
            </w:pPr>
            <w:r>
              <w:rPr>
                <w:b/>
                <w:sz w:val="18"/>
              </w:rPr>
              <w:t>168.541,80</w:t>
            </w:r>
          </w:p>
        </w:tc>
        <w:tc>
          <w:tcPr>
            <w:tcW w:w="1860" w:type="dxa"/>
            <w:tcMar>
              <w:top w:w="0" w:type="dxa"/>
              <w:bottom w:w="0" w:type="dxa"/>
            </w:tcMar>
            <w:vAlign w:val="center"/>
          </w:tcPr>
          <w:p w14:paraId="0882E158" w14:textId="77777777" w:rsidR="005B1CAA" w:rsidRDefault="00000000">
            <w:pPr>
              <w:keepNext/>
              <w:keepLines/>
              <w:spacing w:after="0" w:line="240" w:lineRule="auto"/>
              <w:jc w:val="right"/>
            </w:pPr>
            <w:r>
              <w:rPr>
                <w:b/>
                <w:sz w:val="18"/>
              </w:rPr>
              <w:t>58.079,06</w:t>
            </w:r>
          </w:p>
        </w:tc>
        <w:tc>
          <w:tcPr>
            <w:tcW w:w="700" w:type="dxa"/>
            <w:tcMar>
              <w:top w:w="0" w:type="dxa"/>
              <w:bottom w:w="0" w:type="dxa"/>
            </w:tcMar>
            <w:vAlign w:val="center"/>
          </w:tcPr>
          <w:p w14:paraId="200BA9F6" w14:textId="77777777" w:rsidR="005B1CAA" w:rsidRDefault="00000000">
            <w:pPr>
              <w:keepNext/>
              <w:keepLines/>
              <w:spacing w:after="0" w:line="240" w:lineRule="auto"/>
              <w:jc w:val="right"/>
            </w:pPr>
            <w:r>
              <w:rPr>
                <w:b/>
                <w:sz w:val="18"/>
              </w:rPr>
              <w:t>34,5</w:t>
            </w:r>
          </w:p>
        </w:tc>
      </w:tr>
    </w:tbl>
    <w:p w14:paraId="3866387F" w14:textId="77777777" w:rsidR="005B1CAA" w:rsidRDefault="005B1CAA">
      <w:pPr>
        <w:spacing w:after="0"/>
      </w:pPr>
    </w:p>
    <w:p w14:paraId="44923794" w14:textId="77777777" w:rsidR="005B1CAA" w:rsidRDefault="00000000" w:rsidP="008559C5">
      <w:pPr>
        <w:spacing w:after="0" w:line="240" w:lineRule="auto"/>
        <w:jc w:val="both"/>
      </w:pPr>
      <w:r>
        <w:t xml:space="preserve">Prihodi poslovanja u razdoblju I-VI 2025. godine ostvareni  su u iznosu od 981.553,80 eura, tj. 152,80% u odnosu na ostvarene u istom razdoblju prošle godine. Značajno povećanje prihoda zabilježeno je kod pomoći koje su ostvarene u iznosu od 614.494,30 eura, tj 186,80% u odnosu </w:t>
      </w:r>
      <w:r>
        <w:lastRenderedPageBreak/>
        <w:t>na ostvarene pomoći u istom razdoblju prošle godine. Pomoći fiskalnog izravnanja u 2024. godini iskazane su na računu 6331, a u 2025. godini na računu 6353. Nije došlo do značajnih razlika u visini istih.  Do ovih promjena je došlo zbog promjene Pravilnika o proračunskom računovodstvu i Računskom planu. Na računu 638 Pomoći temeljem prijenosa EU sredstava iskazani su prihodi od 253.103,40 eura, tj. 636,20% u odnosu na iste u istom razdoblju prošle godine. Iskazani prihodi su prihodi vezani za financiranje Projekta ZAŽELI , uplaćeni po odobrenim ZNS-ovima. Prihodi od imovine, iskazano na računu 64 u iznosu od 43.103,71 eur, tj. 388,30% u odnosu na iste u istom razdoblju prošle godine. Naplaćeni su veći prihodi od korištenja javne površine Općine Plaški od HAKOM-a. Prihodi od upravnih i administrativni pristojbi , prihodi po posebnim propisima i naknada ostvareni su u iznosu od 186.648,72 eura, tj.114,30 % u odnosu na isto razdoblje prošle godine. U 2025. godini  naplaćen je veći šumski doprinos.   Rashodi poslovanja u izvještajnom razdoblju 2025. godine ostvareni su u iznosu od 815.803,44 eura, tj. 136,30% u odnosu na isto razdoblje 2024. godine. Značajno povečanje  iskazano je kod rashoda za zaposlene. Razlog povećanja je što je po Programu ZAŽELI u drugoj polovini 2024. godine uposleno je 30 žena . Po ovom programu u razdoblju I-VI 2025. godine utrošeno je ukupno 220.237,99 eura. Po Programima javnih radova uposleno je 6  djelatnika.  Realizacija Programa javnih radova je u iznosu od 20.526,02 eura. Na računu 329 iskazani su povećani rashodi, razlog povećanja su troškovi izbora. Na računu 367 Prijenos proračunskim korisnicima iz nadležnog proračuna za financiranje redovne djelatnosti izkazan je rashod u iznosu od 11.674,63 eura, tj. 130,80% u odnosu na isto razdoblje 2024. godine. Razlog povećanja je isplata otpremnine bivšem ravnatelju i povećanje osnovice za obračun plaće zaposlenima.  Na računu 38 iskazan je rashod u iznosu od 121.638,28 eura, tj 111,80% u odnosu na isti u prošloj godini.  Povečani su rashodi isplaćeni Udrugama civilnog društva i rashodi za financiranje boravka djece u dječjem vrtiću.</w:t>
      </w:r>
    </w:p>
    <w:p w14:paraId="2A1EA563" w14:textId="6F7BDBCF" w:rsidR="008559C5" w:rsidRDefault="008559C5" w:rsidP="008559C5">
      <w:pPr>
        <w:spacing w:after="0" w:line="240" w:lineRule="auto"/>
        <w:jc w:val="both"/>
      </w:pPr>
      <w:r>
        <w:t>Manjak Prihoda I primitaka ostvaren na kraju izvještajnog razdoblja u iznosu od 58.079,06 eura iznosi  34,50 % ostvarenog manjka istog razdobja prošle godine.</w:t>
      </w:r>
      <w:r w:rsidR="001E1777">
        <w:t xml:space="preserve">Manjak tekućeg razdoblja biti će pokriven kada </w:t>
      </w:r>
      <w:r w:rsidR="00836E9D">
        <w:t>Ministarstvo regionalnog razvoja I  fondova EU uplati sredstva po Ugovoru za financiranje projekta SPOMEN PARK , Plaški</w:t>
      </w:r>
      <w:r w:rsidR="007F7D7D">
        <w:t>.</w:t>
      </w:r>
    </w:p>
    <w:p w14:paraId="386B01A2" w14:textId="77777777" w:rsidR="005B1CAA" w:rsidRDefault="00000000">
      <w:r>
        <w:br/>
      </w:r>
    </w:p>
    <w:p w14:paraId="7C2A67A9" w14:textId="77777777" w:rsidR="005B1CAA" w:rsidRDefault="00000000">
      <w:pPr>
        <w:keepNext/>
        <w:spacing w:line="240" w:lineRule="auto"/>
        <w:jc w:val="center"/>
      </w:pPr>
      <w:r>
        <w:rPr>
          <w:b/>
          <w:sz w:val="28"/>
        </w:rPr>
        <w:t>Izvještaj o obvezama</w:t>
      </w:r>
    </w:p>
    <w:p w14:paraId="01D7A700" w14:textId="77777777" w:rsidR="005B1CAA" w:rsidRDefault="00000000">
      <w:pPr>
        <w:keepNext/>
        <w:spacing w:line="240" w:lineRule="auto"/>
        <w:jc w:val="center"/>
      </w:pPr>
      <w:r>
        <w:rPr>
          <w:sz w:val="28"/>
        </w:rPr>
        <w:t>Bilješka 2.</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883"/>
        <w:gridCol w:w="4008"/>
        <w:gridCol w:w="882"/>
        <w:gridCol w:w="2345"/>
        <w:gridCol w:w="882"/>
      </w:tblGrid>
      <w:tr w:rsidR="005B1CAA" w14:paraId="1839B2C9"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92E4DFE" w14:textId="77777777" w:rsidR="005B1CAA"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072DC73" w14:textId="77777777" w:rsidR="005B1CAA"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17FE3B9" w14:textId="77777777" w:rsidR="005B1CAA"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24FEFAC" w14:textId="77777777" w:rsidR="005B1CAA" w:rsidRDefault="00000000">
            <w:pPr>
              <w:keepNext/>
              <w:keepLines/>
              <w:spacing w:after="0" w:line="240" w:lineRule="auto"/>
              <w:jc w:val="center"/>
            </w:pPr>
            <w:r>
              <w:rPr>
                <w:b/>
                <w:sz w:val="18"/>
              </w:rPr>
              <w:t>Iznos</w:t>
            </w:r>
          </w:p>
        </w:tc>
        <w:tc>
          <w:tcPr>
            <w:tcW w:w="700" w:type="dxa"/>
            <w:shd w:val="clear" w:color="auto" w:fill="E7F0F9"/>
            <w:tcMar>
              <w:top w:w="0" w:type="dxa"/>
              <w:bottom w:w="0" w:type="dxa"/>
            </w:tcMar>
            <w:vAlign w:val="center"/>
          </w:tcPr>
          <w:p w14:paraId="0FAA6D8F" w14:textId="77777777" w:rsidR="005B1CAA" w:rsidRDefault="00000000">
            <w:pPr>
              <w:keepNext/>
              <w:keepLines/>
              <w:spacing w:after="0" w:line="240" w:lineRule="auto"/>
              <w:jc w:val="center"/>
            </w:pPr>
            <w:r>
              <w:rPr>
                <w:b/>
                <w:sz w:val="18"/>
              </w:rPr>
              <w:t>Indeks (%)</w:t>
            </w:r>
          </w:p>
        </w:tc>
      </w:tr>
      <w:tr w:rsidR="005B1CAA" w14:paraId="20978D57" w14:textId="77777777">
        <w:tblPrEx>
          <w:tblCellMar>
            <w:top w:w="0" w:type="dxa"/>
            <w:bottom w:w="0" w:type="dxa"/>
          </w:tblCellMar>
        </w:tblPrEx>
        <w:trPr>
          <w:cantSplit/>
          <w:trHeight w:val="560"/>
        </w:trPr>
        <w:tc>
          <w:tcPr>
            <w:tcW w:w="700" w:type="dxa"/>
            <w:tcMar>
              <w:top w:w="0" w:type="dxa"/>
              <w:bottom w:w="0" w:type="dxa"/>
            </w:tcMar>
            <w:vAlign w:val="center"/>
          </w:tcPr>
          <w:p w14:paraId="788C8675" w14:textId="77777777" w:rsidR="005B1CAA" w:rsidRDefault="005B1CAA">
            <w:pPr>
              <w:keepNext/>
              <w:keepLines/>
              <w:spacing w:after="0" w:line="240" w:lineRule="auto"/>
            </w:pPr>
          </w:p>
        </w:tc>
        <w:tc>
          <w:tcPr>
            <w:tcW w:w="3180" w:type="dxa"/>
            <w:tcMar>
              <w:top w:w="0" w:type="dxa"/>
              <w:bottom w:w="0" w:type="dxa"/>
            </w:tcMar>
            <w:vAlign w:val="center"/>
          </w:tcPr>
          <w:p w14:paraId="420F349C" w14:textId="77777777" w:rsidR="005B1CAA" w:rsidRDefault="00000000">
            <w:pPr>
              <w:keepNext/>
              <w:keepLines/>
              <w:spacing w:after="0" w:line="240" w:lineRule="auto"/>
            </w:pPr>
            <w:r>
              <w:rPr>
                <w:sz w:val="18"/>
              </w:rPr>
              <w:t>Stanje dospjelih obveza na kraju izvještajnog razdoblja (šifre V008+D23+D24 + 'D dio 25,26' + D27)</w:t>
            </w:r>
          </w:p>
        </w:tc>
        <w:tc>
          <w:tcPr>
            <w:tcW w:w="700" w:type="dxa"/>
            <w:tcMar>
              <w:top w:w="0" w:type="dxa"/>
              <w:bottom w:w="0" w:type="dxa"/>
            </w:tcMar>
            <w:vAlign w:val="center"/>
          </w:tcPr>
          <w:p w14:paraId="5C62131F" w14:textId="77777777" w:rsidR="005B1CAA" w:rsidRDefault="00000000">
            <w:pPr>
              <w:keepNext/>
              <w:keepLines/>
              <w:spacing w:after="0" w:line="240" w:lineRule="auto"/>
            </w:pPr>
            <w:r>
              <w:rPr>
                <w:sz w:val="18"/>
              </w:rPr>
              <w:t>V007</w:t>
            </w:r>
          </w:p>
        </w:tc>
        <w:tc>
          <w:tcPr>
            <w:tcW w:w="1860" w:type="dxa"/>
            <w:tcMar>
              <w:top w:w="0" w:type="dxa"/>
              <w:bottom w:w="0" w:type="dxa"/>
            </w:tcMar>
            <w:vAlign w:val="center"/>
          </w:tcPr>
          <w:p w14:paraId="39846CEC" w14:textId="77777777" w:rsidR="005B1CAA" w:rsidRDefault="00000000">
            <w:pPr>
              <w:keepNext/>
              <w:keepLines/>
              <w:spacing w:after="0" w:line="240" w:lineRule="auto"/>
              <w:jc w:val="right"/>
            </w:pPr>
            <w:r>
              <w:rPr>
                <w:sz w:val="18"/>
              </w:rPr>
              <w:t>202.955,87</w:t>
            </w:r>
          </w:p>
        </w:tc>
        <w:tc>
          <w:tcPr>
            <w:tcW w:w="700" w:type="dxa"/>
            <w:tcMar>
              <w:top w:w="0" w:type="dxa"/>
              <w:bottom w:w="0" w:type="dxa"/>
            </w:tcMar>
            <w:vAlign w:val="center"/>
          </w:tcPr>
          <w:p w14:paraId="2853595A" w14:textId="77777777" w:rsidR="005B1CAA" w:rsidRDefault="00000000">
            <w:pPr>
              <w:keepNext/>
              <w:keepLines/>
              <w:spacing w:after="0" w:line="240" w:lineRule="auto"/>
              <w:jc w:val="right"/>
            </w:pPr>
            <w:r>
              <w:rPr>
                <w:sz w:val="18"/>
              </w:rPr>
              <w:t>-</w:t>
            </w:r>
          </w:p>
        </w:tc>
      </w:tr>
    </w:tbl>
    <w:p w14:paraId="71160C8F" w14:textId="77777777" w:rsidR="005B1CAA" w:rsidRDefault="005B1CAA">
      <w:pPr>
        <w:spacing w:after="0"/>
      </w:pPr>
    </w:p>
    <w:p w14:paraId="75ECAE80" w14:textId="77777777" w:rsidR="005B1CAA" w:rsidRDefault="00000000">
      <w:pPr>
        <w:spacing w:line="240" w:lineRule="auto"/>
        <w:jc w:val="both"/>
      </w:pPr>
      <w:r>
        <w:t>Dospjele obveze iskazane su u iznosu od 202.955,87 eura. Za rashode poslovanja dospjele obveze iznose 57.602,67 eura i za nabavu nefinancijske imovine 145.353,20 eura.  Obveze za rashode poslovanja se odnose na održavanje njerazvrstanih cesta, a obveze za nabavu nefinancijske imovine se odnose na izgradnju spomen parka u Plaškom, izgradnju javne rasvjete i nabavu kanti za odvojeno prikupljanje otpada  Razlog nastanka dospjelih obaveza je nedostatak priljeva financijskih sredstava.</w:t>
      </w:r>
    </w:p>
    <w:p w14:paraId="13EF5BB7" w14:textId="77777777" w:rsidR="005B1CAA" w:rsidRDefault="005B1CAA"/>
    <w:sectPr w:rsidR="005B1CAA">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5B1CAA"/>
    <w:rsid w:val="001E1777"/>
    <w:rsid w:val="005B1CAA"/>
    <w:rsid w:val="007F7D7D"/>
    <w:rsid w:val="00836E9D"/>
    <w:rsid w:val="008559C5"/>
    <w:rsid w:val="00F16A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14D92"/>
  <w15:docId w15:val="{B0EDE91F-A9A6-4205-9F78-BD7D5415A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hAnsi="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694</Words>
  <Characters>3959</Characters>
  <Application>Microsoft Office Word</Application>
  <DocSecurity>0</DocSecurity>
  <Lines>32</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Biserka Mlinac</cp:lastModifiedBy>
  <cp:revision>4</cp:revision>
  <dcterms:created xsi:type="dcterms:W3CDTF">2025-07-14T07:41:00Z</dcterms:created>
  <dcterms:modified xsi:type="dcterms:W3CDTF">2025-07-14T07:58:00Z</dcterms:modified>
</cp:coreProperties>
</file>